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625AC" w14:textId="1FB5C6CA" w:rsidR="004A114D" w:rsidRDefault="004A114D">
      <w:r>
        <w:rPr>
          <w:rFonts w:ascii="Arial" w:hAnsi="Arial"/>
          <w:b/>
          <w:bCs/>
          <w:color w:val="000000"/>
          <w:sz w:val="21"/>
          <w:szCs w:val="21"/>
          <w:shd w:val="clear" w:color="auto" w:fill="FFFFFF"/>
        </w:rPr>
        <w:t>Post by Day 3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your thoughts whether vicarious trauma interventions should address organizational practices and explain why. Then describe the intervention you selected and three types of trauma-response helping professionals for whom this intervention would be appropriate and explain why. </w:t>
      </w:r>
      <w:bookmarkStart w:id="0" w:name="_GoBack"/>
      <w:bookmarkEnd w:id="0"/>
    </w:p>
    <w:sectPr w:rsidR="004A1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14D"/>
    <w:rsid w:val="00000D24"/>
    <w:rsid w:val="004A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B10EC"/>
  <w15:chartTrackingRefBased/>
  <w15:docId w15:val="{50C75FF2-6ABC-40DE-BA95-546BF3B7A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3</cp:revision>
  <dcterms:created xsi:type="dcterms:W3CDTF">2019-08-14T01:20:00Z</dcterms:created>
  <dcterms:modified xsi:type="dcterms:W3CDTF">2019-08-14T01:36:00Z</dcterms:modified>
</cp:coreProperties>
</file>